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91" w:rsidRPr="001D6E01" w:rsidRDefault="00044B22" w:rsidP="001D6E01">
      <w:pPr>
        <w:spacing w:before="120" w:after="0" w:line="324" w:lineRule="auto"/>
        <w:jc w:val="center"/>
        <w:rPr>
          <w:rFonts w:ascii="Georgia" w:hAnsi="Georgia" w:cs="Arial"/>
          <w:b/>
          <w:spacing w:val="20"/>
          <w:sz w:val="26"/>
          <w:szCs w:val="26"/>
        </w:rPr>
      </w:pPr>
      <w:r w:rsidRPr="001D6E01">
        <w:rPr>
          <w:rFonts w:ascii="Georgia" w:hAnsi="Georgia" w:cs="Arial"/>
          <w:b/>
          <w:spacing w:val="20"/>
          <w:sz w:val="26"/>
          <w:szCs w:val="26"/>
        </w:rPr>
        <w:t xml:space="preserve">РЕЗОЛЮЦИЯ – КОММЮНИКЕ </w:t>
      </w:r>
    </w:p>
    <w:p w:rsidR="00044B22" w:rsidRDefault="00044B22" w:rsidP="001D6E01">
      <w:pPr>
        <w:spacing w:after="120" w:line="324" w:lineRule="auto"/>
        <w:jc w:val="center"/>
        <w:rPr>
          <w:rFonts w:ascii="Georgia" w:hAnsi="Georgia" w:cs="Arial"/>
          <w:sz w:val="24"/>
        </w:rPr>
      </w:pPr>
      <w:r w:rsidRPr="001D6E01">
        <w:rPr>
          <w:rFonts w:ascii="Georgia" w:hAnsi="Georgia" w:cs="Arial"/>
          <w:sz w:val="24"/>
        </w:rPr>
        <w:t>рабочего совещания заведующих кафедр</w:t>
      </w:r>
      <w:r w:rsidR="005D1CD1">
        <w:rPr>
          <w:rFonts w:ascii="Georgia" w:hAnsi="Georgia" w:cs="Arial"/>
          <w:sz w:val="24"/>
        </w:rPr>
        <w:t xml:space="preserve"> </w:t>
      </w:r>
      <w:r w:rsidRPr="001D6E01">
        <w:rPr>
          <w:rFonts w:ascii="Georgia" w:hAnsi="Georgia" w:cs="Arial"/>
          <w:sz w:val="24"/>
        </w:rPr>
        <w:t>промтеплоэнергетического профиля и представителей реального сектора в области промышленной энергетики</w:t>
      </w:r>
    </w:p>
    <w:p w:rsidR="002E7714" w:rsidRPr="001D6E01" w:rsidRDefault="002E7714" w:rsidP="002E7714">
      <w:pPr>
        <w:spacing w:after="0" w:line="324" w:lineRule="auto"/>
        <w:jc w:val="center"/>
        <w:rPr>
          <w:rFonts w:ascii="Georgia" w:hAnsi="Georgia" w:cs="Arial"/>
          <w:sz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6170"/>
      </w:tblGrid>
      <w:tr w:rsidR="00286641" w:rsidRPr="001D6E01" w:rsidTr="00746392">
        <w:trPr>
          <w:jc w:val="center"/>
        </w:trPr>
        <w:tc>
          <w:tcPr>
            <w:tcW w:w="3112" w:type="dxa"/>
            <w:vAlign w:val="center"/>
          </w:tcPr>
          <w:p w:rsidR="00286641" w:rsidRPr="00746392" w:rsidRDefault="00286641" w:rsidP="002E7714">
            <w:pPr>
              <w:spacing w:before="120" w:after="120" w:line="324" w:lineRule="auto"/>
              <w:jc w:val="center"/>
              <w:rPr>
                <w:rFonts w:ascii="Georgia" w:hAnsi="Georgia" w:cs="Arial"/>
                <w:b/>
                <w:sz w:val="24"/>
              </w:rPr>
            </w:pPr>
            <w:r w:rsidRPr="00746392">
              <w:rPr>
                <w:rFonts w:ascii="Georgia" w:hAnsi="Georgia" w:cs="Arial"/>
                <w:b/>
                <w:sz w:val="24"/>
              </w:rPr>
              <w:t>17 ноября 2023 г.</w:t>
            </w:r>
          </w:p>
        </w:tc>
        <w:tc>
          <w:tcPr>
            <w:tcW w:w="6170" w:type="dxa"/>
            <w:vAlign w:val="center"/>
          </w:tcPr>
          <w:p w:rsidR="00286641" w:rsidRPr="00746392" w:rsidRDefault="00286641" w:rsidP="002E7714">
            <w:pPr>
              <w:spacing w:before="200" w:after="200" w:line="324" w:lineRule="auto"/>
              <w:jc w:val="center"/>
              <w:rPr>
                <w:rFonts w:ascii="Georgia" w:hAnsi="Georgia" w:cs="Arial"/>
                <w:b/>
                <w:sz w:val="24"/>
              </w:rPr>
            </w:pPr>
            <w:r w:rsidRPr="00746392">
              <w:rPr>
                <w:rFonts w:ascii="Georgia" w:hAnsi="Georgia" w:cs="Arial"/>
                <w:b/>
                <w:sz w:val="24"/>
              </w:rPr>
              <w:t>НИУ «Московский энергетический институт»</w:t>
            </w:r>
          </w:p>
        </w:tc>
      </w:tr>
    </w:tbl>
    <w:p w:rsidR="002E7714" w:rsidRDefault="002E7714" w:rsidP="002E7714">
      <w:pPr>
        <w:pStyle w:val="a3"/>
        <w:spacing w:after="0" w:line="312" w:lineRule="auto"/>
        <w:ind w:left="357"/>
        <w:contextualSpacing w:val="0"/>
        <w:jc w:val="both"/>
        <w:rPr>
          <w:rFonts w:ascii="Georgia" w:hAnsi="Georgia" w:cs="Arial"/>
          <w:sz w:val="24"/>
        </w:rPr>
      </w:pPr>
    </w:p>
    <w:p w:rsidR="00EE0EB6" w:rsidRDefault="00EE0EB6" w:rsidP="008B6F5C">
      <w:pPr>
        <w:pStyle w:val="a3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Руководители учебных подразделений и центров переподг</w:t>
      </w:r>
      <w:r w:rsidR="00613FD0">
        <w:rPr>
          <w:rFonts w:ascii="Georgia" w:hAnsi="Georgia" w:cs="Arial"/>
          <w:sz w:val="24"/>
        </w:rPr>
        <w:t>о</w:t>
      </w:r>
      <w:r>
        <w:rPr>
          <w:rFonts w:ascii="Georgia" w:hAnsi="Georgia" w:cs="Arial"/>
          <w:sz w:val="24"/>
        </w:rPr>
        <w:t xml:space="preserve">товки в области промышленной теплоэнергетики ведущих энергетических и технических ВУЗов Москвы, Иваново, Казани, Смоленска, Воронежа, Липецка, Белгорода, Донецка, Астрахани, Краснодара, Екатеринбурга, Ижевска, Магнитогорска, Омска рассмотрели </w:t>
      </w:r>
      <w:r w:rsidR="009F4C1F">
        <w:rPr>
          <w:rFonts w:ascii="Georgia" w:hAnsi="Georgia" w:cs="Arial"/>
          <w:sz w:val="24"/>
        </w:rPr>
        <w:t xml:space="preserve">и обсудили </w:t>
      </w:r>
      <w:r>
        <w:rPr>
          <w:rFonts w:ascii="Georgia" w:hAnsi="Georgia" w:cs="Arial"/>
          <w:sz w:val="24"/>
        </w:rPr>
        <w:t xml:space="preserve">ситуацию в области </w:t>
      </w:r>
      <w:r w:rsidR="009F4C1F">
        <w:rPr>
          <w:rFonts w:ascii="Georgia" w:hAnsi="Georgia" w:cs="Arial"/>
          <w:sz w:val="24"/>
        </w:rPr>
        <w:t>инженерной подготовки энергетиков для различных отраслей промышленности, обменялись опытом преодоления кризисных явлений в системе высшего инженерного образования на уровне своих подразделений и ВУЗов в целом.</w:t>
      </w:r>
    </w:p>
    <w:p w:rsidR="00044B22" w:rsidRPr="001D6E01" w:rsidRDefault="00044B22" w:rsidP="008B6F5C">
      <w:pPr>
        <w:pStyle w:val="a3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Georgia" w:hAnsi="Georgia" w:cs="Arial"/>
          <w:sz w:val="24"/>
        </w:rPr>
      </w:pPr>
      <w:r w:rsidRPr="001D6E01">
        <w:rPr>
          <w:rFonts w:ascii="Georgia" w:hAnsi="Georgia" w:cs="Arial"/>
          <w:sz w:val="24"/>
        </w:rPr>
        <w:t xml:space="preserve">Выражая обеспокоенность </w:t>
      </w:r>
      <w:r w:rsidR="009F4C1F">
        <w:rPr>
          <w:rFonts w:ascii="Georgia" w:hAnsi="Georgia" w:cs="Arial"/>
          <w:sz w:val="24"/>
        </w:rPr>
        <w:t xml:space="preserve">сложившейся </w:t>
      </w:r>
      <w:r w:rsidRPr="001D6E01">
        <w:rPr>
          <w:rFonts w:ascii="Georgia" w:hAnsi="Georgia" w:cs="Arial"/>
          <w:sz w:val="24"/>
        </w:rPr>
        <w:t>ситуацией с</w:t>
      </w:r>
      <w:r w:rsidR="00EE6175">
        <w:rPr>
          <w:rFonts w:ascii="Georgia" w:hAnsi="Georgia" w:cs="Arial"/>
          <w:sz w:val="24"/>
        </w:rPr>
        <w:t xml:space="preserve"> престижем и ролью</w:t>
      </w:r>
      <w:r w:rsidRPr="001D6E01">
        <w:rPr>
          <w:rFonts w:ascii="Georgia" w:hAnsi="Georgia" w:cs="Arial"/>
          <w:sz w:val="24"/>
        </w:rPr>
        <w:t xml:space="preserve"> инжен</w:t>
      </w:r>
      <w:r w:rsidR="00EE6175">
        <w:rPr>
          <w:rFonts w:ascii="Georgia" w:hAnsi="Georgia" w:cs="Arial"/>
          <w:sz w:val="24"/>
        </w:rPr>
        <w:t>ерного образования в целом, а также</w:t>
      </w:r>
      <w:r w:rsidRPr="001D6E01">
        <w:rPr>
          <w:rFonts w:ascii="Georgia" w:hAnsi="Georgia" w:cs="Arial"/>
          <w:sz w:val="24"/>
        </w:rPr>
        <w:t xml:space="preserve"> в важнейшей для экономик</w:t>
      </w:r>
      <w:r w:rsidR="00EE6175">
        <w:rPr>
          <w:rFonts w:ascii="Georgia" w:hAnsi="Georgia" w:cs="Arial"/>
          <w:sz w:val="24"/>
        </w:rPr>
        <w:t>и</w:t>
      </w:r>
      <w:r w:rsidRPr="001D6E01">
        <w:rPr>
          <w:rFonts w:ascii="Georgia" w:hAnsi="Georgia" w:cs="Arial"/>
          <w:sz w:val="24"/>
        </w:rPr>
        <w:t xml:space="preserve"> страны сфере промышленной энергетики</w:t>
      </w:r>
      <w:r w:rsidR="00286641" w:rsidRPr="001D6E01">
        <w:rPr>
          <w:rFonts w:ascii="Georgia" w:hAnsi="Georgia" w:cs="Arial"/>
          <w:sz w:val="24"/>
        </w:rPr>
        <w:t xml:space="preserve"> с</w:t>
      </w:r>
      <w:r w:rsidRPr="001D6E01">
        <w:rPr>
          <w:rFonts w:ascii="Georgia" w:hAnsi="Georgia" w:cs="Arial"/>
          <w:sz w:val="24"/>
        </w:rPr>
        <w:t xml:space="preserve">читаем необходимым объединить усилия </w:t>
      </w:r>
      <w:r w:rsidR="001D6E01" w:rsidRPr="001D6E01">
        <w:rPr>
          <w:rFonts w:ascii="Georgia" w:hAnsi="Georgia" w:cs="Arial"/>
          <w:sz w:val="24"/>
        </w:rPr>
        <w:t xml:space="preserve">профильных подразделений технических </w:t>
      </w:r>
      <w:r w:rsidRPr="001D6E01">
        <w:rPr>
          <w:rFonts w:ascii="Georgia" w:hAnsi="Georgia" w:cs="Arial"/>
          <w:sz w:val="24"/>
        </w:rPr>
        <w:t>ВУЗов страны для улучшения и совершенствования методик и методов подготовки и переподготовки кадров в области промышленной энергетики</w:t>
      </w:r>
      <w:r w:rsidR="00EE6175">
        <w:rPr>
          <w:rStyle w:val="a7"/>
          <w:rFonts w:ascii="Georgia" w:hAnsi="Georgia" w:cs="Arial"/>
          <w:sz w:val="24"/>
        </w:rPr>
        <w:footnoteReference w:id="2"/>
      </w:r>
      <w:r w:rsidR="00286641" w:rsidRPr="001D6E01">
        <w:rPr>
          <w:rFonts w:ascii="Georgia" w:hAnsi="Georgia" w:cs="Arial"/>
          <w:sz w:val="24"/>
        </w:rPr>
        <w:t xml:space="preserve">, направленные на разработку соответствующих профессиональных стандартов, коррекцию учебных планов и программ, обмен учебными пособиями, успешными </w:t>
      </w:r>
      <w:r w:rsidR="001D6E01" w:rsidRPr="001D6E01">
        <w:rPr>
          <w:rFonts w:ascii="Georgia" w:hAnsi="Georgia" w:cs="Arial"/>
          <w:sz w:val="24"/>
        </w:rPr>
        <w:t xml:space="preserve">лекторами, современными </w:t>
      </w:r>
      <w:r w:rsidR="00286641" w:rsidRPr="001D6E01">
        <w:rPr>
          <w:rFonts w:ascii="Georgia" w:hAnsi="Georgia" w:cs="Arial"/>
          <w:sz w:val="24"/>
        </w:rPr>
        <w:t>практиками.</w:t>
      </w:r>
    </w:p>
    <w:p w:rsidR="00044B22" w:rsidRPr="001D6E01" w:rsidRDefault="00044B22" w:rsidP="008B6F5C">
      <w:pPr>
        <w:pStyle w:val="a3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Georgia" w:hAnsi="Georgia" w:cs="Arial"/>
          <w:sz w:val="24"/>
        </w:rPr>
      </w:pPr>
      <w:r w:rsidRPr="001D6E01">
        <w:rPr>
          <w:rFonts w:ascii="Georgia" w:hAnsi="Georgia" w:cs="Arial"/>
          <w:sz w:val="24"/>
        </w:rPr>
        <w:t xml:space="preserve">Имея необходимые заделы и компетенции в ключевых областях энергетической проблематики и </w:t>
      </w:r>
      <w:r w:rsidR="001D6E01">
        <w:rPr>
          <w:rFonts w:ascii="Georgia" w:hAnsi="Georgia" w:cs="Arial"/>
          <w:sz w:val="24"/>
        </w:rPr>
        <w:t xml:space="preserve">актуальных аспектов </w:t>
      </w:r>
      <w:r w:rsidRPr="001D6E01">
        <w:rPr>
          <w:rFonts w:ascii="Georgia" w:hAnsi="Georgia" w:cs="Arial"/>
          <w:sz w:val="24"/>
        </w:rPr>
        <w:t>энергетической тран</w:t>
      </w:r>
      <w:r w:rsidR="001D6E01">
        <w:rPr>
          <w:rFonts w:ascii="Georgia" w:hAnsi="Georgia" w:cs="Arial"/>
          <w:sz w:val="24"/>
        </w:rPr>
        <w:t>с</w:t>
      </w:r>
      <w:r w:rsidRPr="001D6E01">
        <w:rPr>
          <w:rFonts w:ascii="Georgia" w:hAnsi="Georgia" w:cs="Arial"/>
          <w:sz w:val="24"/>
        </w:rPr>
        <w:t>формации (</w:t>
      </w:r>
      <w:r w:rsidR="009F4C1F">
        <w:rPr>
          <w:rFonts w:ascii="Georgia" w:hAnsi="Georgia" w:cs="Arial"/>
          <w:sz w:val="24"/>
        </w:rPr>
        <w:t xml:space="preserve">реальной </w:t>
      </w:r>
      <w:r w:rsidRPr="001D6E01">
        <w:rPr>
          <w:rFonts w:ascii="Georgia" w:hAnsi="Georgia" w:cs="Arial"/>
          <w:sz w:val="24"/>
        </w:rPr>
        <w:t xml:space="preserve">энергоэффективности промышленности и ЖКХ, наилучших доступных технологий в промышленности  и энергетике, стратегии развития </w:t>
      </w:r>
      <w:r w:rsidR="001D6E01">
        <w:rPr>
          <w:rFonts w:ascii="Georgia" w:hAnsi="Georgia" w:cs="Arial"/>
          <w:sz w:val="24"/>
        </w:rPr>
        <w:t xml:space="preserve">инфраструктур </w:t>
      </w:r>
      <w:r w:rsidR="009F4C1F">
        <w:rPr>
          <w:rFonts w:ascii="Georgia" w:hAnsi="Georgia" w:cs="Arial"/>
          <w:sz w:val="24"/>
        </w:rPr>
        <w:t>мегаполис</w:t>
      </w:r>
      <w:r w:rsidRPr="001D6E01">
        <w:rPr>
          <w:rFonts w:ascii="Georgia" w:hAnsi="Georgia" w:cs="Arial"/>
          <w:sz w:val="24"/>
        </w:rPr>
        <w:t>ов и схем теплоснабжения</w:t>
      </w:r>
      <w:r w:rsidR="009F4C1F">
        <w:rPr>
          <w:rFonts w:ascii="Georgia" w:hAnsi="Georgia" w:cs="Arial"/>
          <w:sz w:val="24"/>
        </w:rPr>
        <w:t xml:space="preserve"> городов</w:t>
      </w:r>
      <w:r w:rsidRPr="001D6E01">
        <w:rPr>
          <w:rFonts w:ascii="Georgia" w:hAnsi="Georgia" w:cs="Arial"/>
          <w:sz w:val="24"/>
        </w:rPr>
        <w:t xml:space="preserve">, </w:t>
      </w:r>
      <w:r w:rsidR="00EE6175">
        <w:rPr>
          <w:rFonts w:ascii="Georgia" w:hAnsi="Georgia" w:cs="Arial"/>
          <w:sz w:val="24"/>
        </w:rPr>
        <w:t xml:space="preserve">технологиях обезвреживании отходов, </w:t>
      </w:r>
      <w:r w:rsidR="00030D1D">
        <w:rPr>
          <w:rFonts w:ascii="Georgia" w:hAnsi="Georgia" w:cs="Arial"/>
          <w:sz w:val="24"/>
        </w:rPr>
        <w:t>гибридных системах энергоснабжения с использованием ВИЭ,</w:t>
      </w:r>
      <w:r w:rsidRPr="001D6E01">
        <w:rPr>
          <w:rFonts w:ascii="Georgia" w:hAnsi="Georgia" w:cs="Arial"/>
          <w:sz w:val="24"/>
        </w:rPr>
        <w:t>атомно-водородных комплексах на основе ВТГР и водородной энергетики, климатической адаптации промышленных и коммунальных энергосистем</w:t>
      </w:r>
      <w:r w:rsidR="00286641" w:rsidRPr="001D6E01">
        <w:rPr>
          <w:rFonts w:ascii="Georgia" w:hAnsi="Georgia" w:cs="Arial"/>
          <w:sz w:val="24"/>
        </w:rPr>
        <w:t>) считаем необходимым</w:t>
      </w:r>
      <w:r w:rsidR="001D6E01" w:rsidRPr="001D6E01">
        <w:rPr>
          <w:rFonts w:ascii="Georgia" w:hAnsi="Georgia" w:cs="Arial"/>
          <w:sz w:val="24"/>
        </w:rPr>
        <w:t xml:space="preserve">масштабного </w:t>
      </w:r>
      <w:r w:rsidR="00286641" w:rsidRPr="001D6E01">
        <w:rPr>
          <w:rFonts w:ascii="Georgia" w:hAnsi="Georgia" w:cs="Arial"/>
          <w:sz w:val="24"/>
        </w:rPr>
        <w:t xml:space="preserve">использование нашего общего потенциала (как </w:t>
      </w:r>
      <w:r w:rsidR="002E7714">
        <w:rPr>
          <w:rFonts w:ascii="Georgia" w:hAnsi="Georgia" w:cs="Arial"/>
          <w:sz w:val="24"/>
        </w:rPr>
        <w:t>научно-</w:t>
      </w:r>
      <w:r w:rsidR="00286641" w:rsidRPr="001D6E01">
        <w:rPr>
          <w:rFonts w:ascii="Georgia" w:hAnsi="Georgia" w:cs="Arial"/>
          <w:sz w:val="24"/>
        </w:rPr>
        <w:t>педагогического состава, так и широкого круга обучающихся) для решения вышеобозначенных задач и проблем, в том числе с помощью реальных</w:t>
      </w:r>
      <w:r w:rsidR="001D6E01" w:rsidRPr="001D6E01">
        <w:rPr>
          <w:rFonts w:ascii="Georgia" w:hAnsi="Georgia" w:cs="Arial"/>
          <w:sz w:val="24"/>
        </w:rPr>
        <w:t xml:space="preserve"> выпускных и квалификационных работ комплексного характера</w:t>
      </w:r>
      <w:r w:rsidR="002E7714">
        <w:rPr>
          <w:rFonts w:ascii="Georgia" w:hAnsi="Georgia" w:cs="Arial"/>
          <w:sz w:val="24"/>
        </w:rPr>
        <w:t xml:space="preserve"> для практических нужд городов</w:t>
      </w:r>
      <w:r w:rsidR="001D6E01">
        <w:rPr>
          <w:rFonts w:ascii="Georgia" w:hAnsi="Georgia" w:cs="Arial"/>
          <w:sz w:val="24"/>
        </w:rPr>
        <w:t>, предприятий и регионов</w:t>
      </w:r>
      <w:r w:rsidR="001D6E01" w:rsidRPr="001D6E01">
        <w:rPr>
          <w:rFonts w:ascii="Georgia" w:hAnsi="Georgia" w:cs="Arial"/>
          <w:sz w:val="24"/>
        </w:rPr>
        <w:t>.</w:t>
      </w:r>
    </w:p>
    <w:p w:rsidR="001D6E01" w:rsidRDefault="002E7714" w:rsidP="008B6F5C">
      <w:pPr>
        <w:pStyle w:val="a3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lastRenderedPageBreak/>
        <w:t xml:space="preserve">Студенты-энергетики старших курсов и аспиранты многих технических ВУЗов страны </w:t>
      </w:r>
      <w:r w:rsidR="00C45C6B">
        <w:rPr>
          <w:rFonts w:ascii="Georgia" w:hAnsi="Georgia" w:cs="Arial"/>
          <w:sz w:val="24"/>
        </w:rPr>
        <w:t xml:space="preserve">под нашим руководством </w:t>
      </w:r>
      <w:r>
        <w:rPr>
          <w:rFonts w:ascii="Georgia" w:hAnsi="Georgia" w:cs="Arial"/>
          <w:sz w:val="24"/>
        </w:rPr>
        <w:t>активно включ</w:t>
      </w:r>
      <w:r w:rsidR="00C45C6B">
        <w:rPr>
          <w:rFonts w:ascii="Georgia" w:hAnsi="Georgia" w:cs="Arial"/>
          <w:sz w:val="24"/>
        </w:rPr>
        <w:t>аются</w:t>
      </w:r>
      <w:r>
        <w:rPr>
          <w:rFonts w:ascii="Georgia" w:hAnsi="Georgia" w:cs="Arial"/>
          <w:sz w:val="24"/>
        </w:rPr>
        <w:t xml:space="preserve"> в процессы проведения энергетических обследований зданий в своих регионах, участвуют в разработке и актуализации схем теплоснабжения городов разного размера</w:t>
      </w:r>
      <w:r w:rsidR="00C45C6B">
        <w:rPr>
          <w:rFonts w:ascii="Georgia" w:hAnsi="Georgia" w:cs="Arial"/>
          <w:sz w:val="24"/>
        </w:rPr>
        <w:t>,</w:t>
      </w:r>
      <w:r>
        <w:rPr>
          <w:rFonts w:ascii="Georgia" w:hAnsi="Georgia" w:cs="Arial"/>
          <w:sz w:val="24"/>
        </w:rPr>
        <w:t xml:space="preserve"> моделировании и проектировании энергоэкономичных зданий, создания систем энергетической утилизации отходов, тем самым резко повышая свою компетентность и уровень конкурентоспособности на рынке труда. Именно в этом содружестве учебных подразделений и </w:t>
      </w:r>
      <w:r w:rsidR="00990E6B">
        <w:rPr>
          <w:rFonts w:ascii="Georgia" w:hAnsi="Georgia" w:cs="Arial"/>
          <w:sz w:val="24"/>
        </w:rPr>
        <w:t xml:space="preserve">реальных потребностей жизни, а не в навязываемой нам сверху </w:t>
      </w:r>
      <w:r w:rsidR="00E24FFF">
        <w:rPr>
          <w:rFonts w:ascii="Georgia" w:hAnsi="Georgia" w:cs="Arial"/>
          <w:sz w:val="24"/>
        </w:rPr>
        <w:t>бессмыслен</w:t>
      </w:r>
      <w:r w:rsidR="00990E6B">
        <w:rPr>
          <w:rFonts w:ascii="Georgia" w:hAnsi="Georgia" w:cs="Arial"/>
          <w:sz w:val="24"/>
        </w:rPr>
        <w:t xml:space="preserve">ной конкуренции за абитуриентов, мы видим магистральное направление модернизации высшего профессионального образования. Уверены, что именно решение </w:t>
      </w:r>
      <w:r w:rsidR="00E24FFF">
        <w:rPr>
          <w:rFonts w:ascii="Georgia" w:hAnsi="Georgia" w:cs="Arial"/>
          <w:sz w:val="24"/>
        </w:rPr>
        <w:t>актуальн</w:t>
      </w:r>
      <w:r w:rsidR="00990E6B">
        <w:rPr>
          <w:rFonts w:ascii="Georgia" w:hAnsi="Georgia" w:cs="Arial"/>
          <w:sz w:val="24"/>
        </w:rPr>
        <w:t>ых зад</w:t>
      </w:r>
      <w:r w:rsidR="00696AF5">
        <w:rPr>
          <w:rFonts w:ascii="Georgia" w:hAnsi="Georgia" w:cs="Arial"/>
          <w:sz w:val="24"/>
        </w:rPr>
        <w:t>ач энергоэффективно</w:t>
      </w:r>
      <w:r w:rsidR="00990E6B">
        <w:rPr>
          <w:rFonts w:ascii="Georgia" w:hAnsi="Georgia" w:cs="Arial"/>
          <w:sz w:val="24"/>
        </w:rPr>
        <w:t>го развития страны на порядок важней мифических зарубежных «зе</w:t>
      </w:r>
      <w:r w:rsidR="00696AF5">
        <w:rPr>
          <w:rFonts w:ascii="Georgia" w:hAnsi="Georgia" w:cs="Arial"/>
          <w:sz w:val="24"/>
        </w:rPr>
        <w:t>л</w:t>
      </w:r>
      <w:r w:rsidR="00990E6B">
        <w:rPr>
          <w:rFonts w:ascii="Georgia" w:hAnsi="Georgia" w:cs="Arial"/>
          <w:sz w:val="24"/>
        </w:rPr>
        <w:t xml:space="preserve">еных» кейсов, навязанной нам «безуглеродной» повестки и до сих пор учитываемых публикаций в международных журналах </w:t>
      </w:r>
    </w:p>
    <w:p w:rsidR="00E62AFF" w:rsidRPr="005D1CD1" w:rsidRDefault="004D6333" w:rsidP="00E62AFF">
      <w:pPr>
        <w:pStyle w:val="a3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>Технологический суверенитет, промышленный прорыв и яркий м</w:t>
      </w:r>
      <w:r w:rsidR="00990E6B">
        <w:rPr>
          <w:rFonts w:ascii="Georgia" w:hAnsi="Georgia" w:cs="Arial"/>
          <w:sz w:val="24"/>
        </w:rPr>
        <w:t>едиа образ</w:t>
      </w:r>
      <w:r>
        <w:rPr>
          <w:rFonts w:ascii="Georgia" w:hAnsi="Georgia" w:cs="Arial"/>
          <w:sz w:val="24"/>
        </w:rPr>
        <w:t xml:space="preserve"> инженера неразрывно связаны </w:t>
      </w:r>
      <w:r w:rsidR="00BA08FD">
        <w:rPr>
          <w:rFonts w:ascii="Georgia" w:hAnsi="Georgia" w:cs="Arial"/>
          <w:sz w:val="24"/>
        </w:rPr>
        <w:t>– именно такой</w:t>
      </w:r>
      <w:r w:rsidR="00AA535E">
        <w:rPr>
          <w:rFonts w:ascii="Georgia" w:hAnsi="Georgia" w:cs="Arial"/>
          <w:sz w:val="24"/>
        </w:rPr>
        <w:t xml:space="preserve"> безусловный</w:t>
      </w:r>
      <w:r w:rsidR="00BA08FD">
        <w:rPr>
          <w:rFonts w:ascii="Georgia" w:hAnsi="Georgia" w:cs="Arial"/>
          <w:sz w:val="24"/>
        </w:rPr>
        <w:t xml:space="preserve"> приоритет государственной политики позволил 100 лет назад выполнить и перевыполнить план ГОЭЛРО, совершить </w:t>
      </w:r>
      <w:r w:rsidR="00E62AFF">
        <w:rPr>
          <w:rFonts w:ascii="Georgia" w:hAnsi="Georgia" w:cs="Arial"/>
          <w:sz w:val="24"/>
        </w:rPr>
        <w:t xml:space="preserve">предвоенный </w:t>
      </w:r>
      <w:r w:rsidR="00BA08FD">
        <w:rPr>
          <w:rFonts w:ascii="Georgia" w:hAnsi="Georgia" w:cs="Arial"/>
          <w:sz w:val="24"/>
        </w:rPr>
        <w:t>промышленный рывок</w:t>
      </w:r>
      <w:r w:rsidR="00E62AFF">
        <w:rPr>
          <w:rFonts w:ascii="Georgia" w:hAnsi="Georgia" w:cs="Arial"/>
          <w:sz w:val="24"/>
        </w:rPr>
        <w:t>, осуществить невиданное ранее по темпам восстановление народного хозяйства на новых принципах и механизмах ЕЭС, промышленной и коммунальной теплофикации, активное освоение Сибири и Дальнего Востока. Практически такие же задачи стоят перед страной и ее энергетической промышленностью сегодня, и мы убеждены – только сочетание новых энергетических резервов и энергии людей способно осуществить такой рывок.</w:t>
      </w:r>
      <w:bookmarkStart w:id="0" w:name="_GoBack"/>
      <w:bookmarkEnd w:id="0"/>
    </w:p>
    <w:sectPr w:rsidR="00E62AFF" w:rsidRPr="005D1CD1" w:rsidSect="002E7714">
      <w:footerReference w:type="default" r:id="rId8"/>
      <w:pgSz w:w="11906" w:h="16838"/>
      <w:pgMar w:top="993" w:right="850" w:bottom="1134" w:left="1418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89" w:rsidRDefault="00A97189" w:rsidP="00EE6175">
      <w:pPr>
        <w:spacing w:after="0" w:line="240" w:lineRule="auto"/>
      </w:pPr>
      <w:r>
        <w:separator/>
      </w:r>
    </w:p>
  </w:endnote>
  <w:endnote w:type="continuationSeparator" w:id="1">
    <w:p w:rsidR="00A97189" w:rsidRDefault="00A97189" w:rsidP="00EE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14841"/>
      <w:docPartObj>
        <w:docPartGallery w:val="Page Numbers (Bottom of Page)"/>
        <w:docPartUnique/>
      </w:docPartObj>
    </w:sdtPr>
    <w:sdtContent>
      <w:p w:rsidR="002E7714" w:rsidRDefault="0001211C">
        <w:pPr>
          <w:pStyle w:val="aa"/>
          <w:jc w:val="right"/>
        </w:pPr>
        <w:r>
          <w:fldChar w:fldCharType="begin"/>
        </w:r>
        <w:r w:rsidR="002E7714">
          <w:instrText>PAGE   \* MERGEFORMAT</w:instrText>
        </w:r>
        <w:r>
          <w:fldChar w:fldCharType="separate"/>
        </w:r>
        <w:r w:rsidR="005D1CD1">
          <w:rPr>
            <w:noProof/>
          </w:rPr>
          <w:t>1</w:t>
        </w:r>
        <w:r>
          <w:fldChar w:fldCharType="end"/>
        </w:r>
      </w:p>
    </w:sdtContent>
  </w:sdt>
  <w:p w:rsidR="002E7714" w:rsidRDefault="002E77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89" w:rsidRDefault="00A97189" w:rsidP="00EE6175">
      <w:pPr>
        <w:spacing w:after="0" w:line="240" w:lineRule="auto"/>
      </w:pPr>
      <w:r>
        <w:separator/>
      </w:r>
    </w:p>
  </w:footnote>
  <w:footnote w:type="continuationSeparator" w:id="1">
    <w:p w:rsidR="00A97189" w:rsidRDefault="00A97189" w:rsidP="00EE6175">
      <w:pPr>
        <w:spacing w:after="0" w:line="240" w:lineRule="auto"/>
      </w:pPr>
      <w:r>
        <w:continuationSeparator/>
      </w:r>
    </w:p>
  </w:footnote>
  <w:footnote w:id="2">
    <w:p w:rsidR="00EE6175" w:rsidRPr="008B6F5C" w:rsidRDefault="00EE6175" w:rsidP="00D24815">
      <w:pPr>
        <w:pStyle w:val="a5"/>
        <w:jc w:val="both"/>
        <w:rPr>
          <w:rFonts w:ascii="Times New Roman" w:hAnsi="Times New Roman" w:cs="Times New Roman"/>
        </w:rPr>
      </w:pPr>
      <w:r w:rsidRPr="008B6F5C">
        <w:rPr>
          <w:rStyle w:val="a7"/>
          <w:rFonts w:ascii="Times New Roman" w:hAnsi="Times New Roman" w:cs="Times New Roman"/>
        </w:rPr>
        <w:footnoteRef/>
      </w:r>
      <w:r w:rsidR="008B6F5C" w:rsidRPr="008B6F5C">
        <w:rPr>
          <w:rFonts w:ascii="Times New Roman" w:hAnsi="Times New Roman" w:cs="Times New Roman"/>
        </w:rPr>
        <w:t xml:space="preserve"> Доля топливно-эне</w:t>
      </w:r>
      <w:r w:rsidR="0047517C">
        <w:rPr>
          <w:rFonts w:ascii="Times New Roman" w:hAnsi="Times New Roman" w:cs="Times New Roman"/>
        </w:rPr>
        <w:t>ргетических ресурсов, обращающих</w:t>
      </w:r>
      <w:r w:rsidR="008B6F5C" w:rsidRPr="008B6F5C">
        <w:rPr>
          <w:rFonts w:ascii="Times New Roman" w:hAnsi="Times New Roman" w:cs="Times New Roman"/>
        </w:rPr>
        <w:t>ся в сфере промышленного комплекса, не уменьшается и достигает в последние годы 65% общего количества ТЭР.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F5A"/>
    <w:multiLevelType w:val="hybridMultilevel"/>
    <w:tmpl w:val="D68AEA1C"/>
    <w:lvl w:ilvl="0" w:tplc="1CFC5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4D7"/>
    <w:rsid w:val="0001211C"/>
    <w:rsid w:val="00030D1D"/>
    <w:rsid w:val="00044B22"/>
    <w:rsid w:val="001939BE"/>
    <w:rsid w:val="001D6E01"/>
    <w:rsid w:val="001F0E91"/>
    <w:rsid w:val="0022727E"/>
    <w:rsid w:val="00286641"/>
    <w:rsid w:val="002E7714"/>
    <w:rsid w:val="0047517C"/>
    <w:rsid w:val="004A375A"/>
    <w:rsid w:val="004D6333"/>
    <w:rsid w:val="005C34D7"/>
    <w:rsid w:val="005D1CD1"/>
    <w:rsid w:val="00613FD0"/>
    <w:rsid w:val="00696AF5"/>
    <w:rsid w:val="00746392"/>
    <w:rsid w:val="008B6F5C"/>
    <w:rsid w:val="00990E6B"/>
    <w:rsid w:val="009F4C1F"/>
    <w:rsid w:val="00A97189"/>
    <w:rsid w:val="00AA535E"/>
    <w:rsid w:val="00AC3CF2"/>
    <w:rsid w:val="00BA08FD"/>
    <w:rsid w:val="00C45C6B"/>
    <w:rsid w:val="00D24815"/>
    <w:rsid w:val="00D312F4"/>
    <w:rsid w:val="00E24FFF"/>
    <w:rsid w:val="00E62AFF"/>
    <w:rsid w:val="00EA541D"/>
    <w:rsid w:val="00EE0EB6"/>
    <w:rsid w:val="00EE6175"/>
    <w:rsid w:val="00EE7F77"/>
    <w:rsid w:val="00FC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22"/>
    <w:pPr>
      <w:ind w:left="720"/>
      <w:contextualSpacing/>
    </w:pPr>
  </w:style>
  <w:style w:type="table" w:styleId="a4">
    <w:name w:val="Table Grid"/>
    <w:basedOn w:val="a1"/>
    <w:uiPriority w:val="59"/>
    <w:rsid w:val="0028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61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61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617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714"/>
  </w:style>
  <w:style w:type="paragraph" w:styleId="aa">
    <w:name w:val="footer"/>
    <w:basedOn w:val="a"/>
    <w:link w:val="ab"/>
    <w:uiPriority w:val="99"/>
    <w:unhideWhenUsed/>
    <w:rsid w:val="002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22"/>
    <w:pPr>
      <w:ind w:left="720"/>
      <w:contextualSpacing/>
    </w:pPr>
  </w:style>
  <w:style w:type="table" w:styleId="a4">
    <w:name w:val="Table Grid"/>
    <w:basedOn w:val="a1"/>
    <w:uiPriority w:val="59"/>
    <w:rsid w:val="0028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61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61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617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714"/>
  </w:style>
  <w:style w:type="paragraph" w:styleId="aa">
    <w:name w:val="footer"/>
    <w:basedOn w:val="a"/>
    <w:link w:val="ab"/>
    <w:uiPriority w:val="99"/>
    <w:unhideWhenUsed/>
    <w:rsid w:val="002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1969-6A61-4716-818F-FB70ACB2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Step</cp:lastModifiedBy>
  <cp:revision>17</cp:revision>
  <cp:lastPrinted>2023-11-18T23:22:00Z</cp:lastPrinted>
  <dcterms:created xsi:type="dcterms:W3CDTF">2023-11-18T18:47:00Z</dcterms:created>
  <dcterms:modified xsi:type="dcterms:W3CDTF">2023-11-29T11:02:00Z</dcterms:modified>
</cp:coreProperties>
</file>